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"/>
        <w:rPr>
          <w:rFonts w:ascii="Times New Roman"/>
          <w:sz w:val="9"/>
        </w:rPr>
      </w:pPr>
    </w:p>
    <w:p>
      <w:pPr>
        <w:pStyle w:val="Title"/>
        <w:spacing w:line="230" w:lineRule="auto"/>
      </w:pPr>
      <w:r>
        <w:rPr>
          <w:w w:val="105"/>
        </w:rPr>
        <w:t>Characterizing</w:t>
      </w:r>
      <w:r>
        <w:rPr>
          <w:w w:val="105"/>
        </w:rPr>
        <w:t> Gate</w:t>
      </w:r>
      <w:r>
        <w:rPr>
          <w:w w:val="105"/>
        </w:rPr>
        <w:t> Performance</w:t>
      </w:r>
      <w:r>
        <w:rPr>
          <w:w w:val="105"/>
        </w:rPr>
        <w:t> and</w:t>
      </w:r>
      <w:r>
        <w:rPr>
          <w:w w:val="105"/>
        </w:rPr>
        <w:t> Noise</w:t>
      </w:r>
      <w:r>
        <w:rPr>
          <w:w w:val="105"/>
        </w:rPr>
        <w:t> </w:t>
      </w:r>
      <w:r>
        <w:rPr>
          <w:w w:val="105"/>
        </w:rPr>
        <w:t>of</w:t>
      </w:r>
      <w:r>
        <w:rPr>
          <w:spacing w:val="80"/>
          <w:w w:val="150"/>
        </w:rPr>
        <w:t> </w:t>
      </w:r>
      <w:r>
        <w:rPr>
          <w:w w:val="105"/>
        </w:rPr>
        <w:t>spin-qubits</w:t>
      </w:r>
      <w:r>
        <w:rPr>
          <w:spacing w:val="40"/>
          <w:w w:val="105"/>
        </w:rPr>
        <w:t> </w:t>
      </w:r>
      <w:r>
        <w:rPr>
          <w:w w:val="105"/>
        </w:rPr>
        <w:t>in</w:t>
      </w:r>
      <w:r>
        <w:rPr>
          <w:spacing w:val="40"/>
          <w:w w:val="105"/>
        </w:rPr>
        <w:t> </w:t>
      </w:r>
      <w:r>
        <w:rPr>
          <w:w w:val="105"/>
        </w:rPr>
        <w:t>natual</w:t>
      </w:r>
      <w:r>
        <w:rPr>
          <w:spacing w:val="40"/>
          <w:w w:val="105"/>
        </w:rPr>
        <w:t> </w:t>
      </w:r>
      <w:r>
        <w:rPr>
          <w:w w:val="105"/>
        </w:rPr>
        <w:t>Si/SiGe</w:t>
      </w:r>
      <w:r>
        <w:rPr>
          <w:spacing w:val="40"/>
          <w:w w:val="105"/>
        </w:rPr>
        <w:t> </w:t>
      </w:r>
      <w:r>
        <w:rPr>
          <w:w w:val="105"/>
        </w:rPr>
        <w:t>quantum</w:t>
      </w:r>
      <w:r>
        <w:rPr>
          <w:spacing w:val="40"/>
          <w:w w:val="105"/>
        </w:rPr>
        <w:t> </w:t>
      </w:r>
      <w:r>
        <w:rPr>
          <w:w w:val="105"/>
        </w:rPr>
        <w:t>dot</w:t>
      </w:r>
    </w:p>
    <w:p>
      <w:pPr>
        <w:spacing w:line="369" w:lineRule="auto" w:before="254"/>
        <w:ind w:left="620" w:right="628" w:firstLine="0"/>
        <w:jc w:val="center"/>
        <w:rPr>
          <w:rFonts w:ascii="Palatino Linotype"/>
          <w:sz w:val="24"/>
        </w:rPr>
      </w:pPr>
      <w:r>
        <w:rPr>
          <w:rFonts w:ascii="Palatino Linotype"/>
          <w:w w:val="95"/>
          <w:sz w:val="24"/>
        </w:rPr>
        <w:t>Jiamin Kang</w:t>
      </w:r>
      <w:r>
        <w:rPr>
          <w:rFonts w:ascii="Trebuchet MS"/>
          <w:w w:val="95"/>
          <w:position w:val="9"/>
          <w:sz w:val="16"/>
        </w:rPr>
        <w:t>1</w:t>
      </w:r>
      <w:r>
        <w:rPr>
          <w:rFonts w:ascii="Palatino Linotype"/>
          <w:w w:val="95"/>
          <w:sz w:val="24"/>
        </w:rPr>
        <w:t>, Wenlong Lu</w:t>
      </w:r>
      <w:r>
        <w:rPr>
          <w:rFonts w:ascii="Trebuchet MS"/>
          <w:w w:val="95"/>
          <w:position w:val="9"/>
          <w:sz w:val="16"/>
        </w:rPr>
        <w:t>1</w:t>
      </w:r>
      <w:r>
        <w:rPr>
          <w:rFonts w:ascii="Palatino Linotype"/>
          <w:w w:val="95"/>
          <w:sz w:val="24"/>
        </w:rPr>
        <w:t>, Yichao Liu</w:t>
      </w:r>
      <w:r>
        <w:rPr>
          <w:rFonts w:ascii="Trebuchet MS"/>
          <w:w w:val="95"/>
          <w:position w:val="9"/>
          <w:sz w:val="16"/>
        </w:rPr>
        <w:t>1</w:t>
      </w:r>
      <w:r>
        <w:rPr>
          <w:rFonts w:ascii="Palatino Linotype"/>
          <w:w w:val="95"/>
          <w:sz w:val="24"/>
        </w:rPr>
        <w:t>, Baochuan Wang</w:t>
      </w:r>
      <w:r>
        <w:rPr>
          <w:rFonts w:ascii="Trebuchet MS"/>
          <w:w w:val="95"/>
          <w:position w:val="9"/>
          <w:sz w:val="16"/>
        </w:rPr>
        <w:t>1</w:t>
      </w:r>
      <w:r>
        <w:rPr>
          <w:rFonts w:ascii="Palatino Linotype"/>
          <w:w w:val="95"/>
          <w:sz w:val="24"/>
        </w:rPr>
        <w:t>, and Guoping Guo</w:t>
      </w:r>
      <w:r>
        <w:rPr>
          <w:rFonts w:ascii="Trebuchet MS"/>
          <w:w w:val="95"/>
          <w:position w:val="9"/>
          <w:sz w:val="16"/>
        </w:rPr>
        <w:t>1</w:t>
      </w:r>
      <w:r>
        <w:rPr>
          <w:rFonts w:ascii="Trebuchet MS"/>
          <w:spacing w:val="80"/>
          <w:position w:val="9"/>
          <w:sz w:val="16"/>
        </w:rPr>
        <w:t> </w:t>
      </w:r>
      <w:r>
        <w:rPr>
          <w:rFonts w:ascii="Trebuchet MS"/>
          <w:position w:val="9"/>
          <w:sz w:val="16"/>
        </w:rPr>
        <w:t>1</w:t>
      </w:r>
      <w:r>
        <w:rPr>
          <w:rFonts w:ascii="Palatino Linotype"/>
          <w:sz w:val="24"/>
        </w:rPr>
        <w:t>University</w:t>
      </w:r>
      <w:r>
        <w:rPr>
          <w:rFonts w:ascii="Palatino Linotype"/>
          <w:spacing w:val="-7"/>
          <w:sz w:val="24"/>
        </w:rPr>
        <w:t> </w:t>
      </w:r>
      <w:r>
        <w:rPr>
          <w:rFonts w:ascii="Palatino Linotype"/>
          <w:sz w:val="24"/>
        </w:rPr>
        <w:t>of</w:t>
      </w:r>
      <w:r>
        <w:rPr>
          <w:rFonts w:ascii="Palatino Linotype"/>
          <w:spacing w:val="-7"/>
          <w:sz w:val="24"/>
        </w:rPr>
        <w:t> </w:t>
      </w:r>
      <w:r>
        <w:rPr>
          <w:rFonts w:ascii="Palatino Linotype"/>
          <w:sz w:val="24"/>
        </w:rPr>
        <w:t>Science</w:t>
      </w:r>
      <w:r>
        <w:rPr>
          <w:rFonts w:ascii="Palatino Linotype"/>
          <w:spacing w:val="-7"/>
          <w:sz w:val="24"/>
        </w:rPr>
        <w:t> </w:t>
      </w:r>
      <w:r>
        <w:rPr>
          <w:rFonts w:ascii="Palatino Linotype"/>
          <w:sz w:val="24"/>
        </w:rPr>
        <w:t>and</w:t>
      </w:r>
      <w:r>
        <w:rPr>
          <w:rFonts w:ascii="Palatino Linotype"/>
          <w:spacing w:val="-7"/>
          <w:sz w:val="24"/>
        </w:rPr>
        <w:t> </w:t>
      </w:r>
      <w:r>
        <w:rPr>
          <w:rFonts w:ascii="Palatino Linotype"/>
          <w:sz w:val="24"/>
        </w:rPr>
        <w:t>Technology</w:t>
      </w:r>
      <w:r>
        <w:rPr>
          <w:rFonts w:ascii="Palatino Linotype"/>
          <w:spacing w:val="-7"/>
          <w:sz w:val="24"/>
        </w:rPr>
        <w:t> </w:t>
      </w:r>
      <w:r>
        <w:rPr>
          <w:rFonts w:ascii="Palatino Linotype"/>
          <w:sz w:val="24"/>
        </w:rPr>
        <w:t>of</w:t>
      </w:r>
      <w:r>
        <w:rPr>
          <w:rFonts w:ascii="Palatino Linotype"/>
          <w:spacing w:val="-7"/>
          <w:sz w:val="24"/>
        </w:rPr>
        <w:t> </w:t>
      </w:r>
      <w:r>
        <w:rPr>
          <w:rFonts w:ascii="Palatino Linotype"/>
          <w:sz w:val="24"/>
        </w:rPr>
        <w:t>China,</w:t>
      </w:r>
      <w:r>
        <w:rPr>
          <w:rFonts w:ascii="Palatino Linotype"/>
          <w:spacing w:val="-7"/>
          <w:sz w:val="24"/>
        </w:rPr>
        <w:t> </w:t>
      </w:r>
      <w:r>
        <w:rPr>
          <w:rFonts w:ascii="Palatino Linotype"/>
          <w:sz w:val="24"/>
        </w:rPr>
        <w:t>China</w:t>
      </w:r>
    </w:p>
    <w:p>
      <w:pPr>
        <w:pStyle w:val="BodyText"/>
        <w:spacing w:before="6"/>
        <w:rPr>
          <w:rFonts w:ascii="Palatino Linotype"/>
          <w:sz w:val="43"/>
        </w:rPr>
      </w:pPr>
    </w:p>
    <w:p>
      <w:pPr>
        <w:spacing w:before="1"/>
        <w:ind w:left="635" w:right="635" w:firstLine="0"/>
        <w:jc w:val="center"/>
        <w:rPr>
          <w:rFonts w:ascii="Palatino Linotype"/>
          <w:b/>
          <w:sz w:val="20"/>
        </w:rPr>
      </w:pPr>
      <w:r>
        <w:rPr>
          <w:rFonts w:ascii="Palatino Linotype"/>
          <w:b/>
          <w:spacing w:val="-2"/>
          <w:w w:val="115"/>
          <w:sz w:val="20"/>
        </w:rPr>
        <w:t>Abstract</w:t>
      </w:r>
    </w:p>
    <w:p>
      <w:pPr>
        <w:pStyle w:val="BodyText"/>
        <w:spacing w:line="172" w:lineRule="auto" w:before="152"/>
        <w:ind w:left="645" w:right="643" w:firstLine="298"/>
        <w:jc w:val="both"/>
      </w:pPr>
      <w:r>
        <w:rPr/>
        <w:t>Electron-spin</w:t>
      </w:r>
      <w:r>
        <w:rPr>
          <w:spacing w:val="-17"/>
        </w:rPr>
        <w:t> </w:t>
      </w:r>
      <w:r>
        <w:rPr/>
        <w:t>qubits</w:t>
      </w:r>
      <w:r>
        <w:rPr>
          <w:spacing w:val="-17"/>
        </w:rPr>
        <w:t> </w:t>
      </w:r>
      <w:r>
        <w:rPr/>
        <w:t>in</w:t>
      </w:r>
      <w:r>
        <w:rPr>
          <w:spacing w:val="-16"/>
        </w:rPr>
        <w:t> </w:t>
      </w:r>
      <w:r>
        <w:rPr/>
        <w:t>silicon</w:t>
      </w:r>
      <w:r>
        <w:rPr>
          <w:spacing w:val="-17"/>
        </w:rPr>
        <w:t> </w:t>
      </w:r>
      <w:r>
        <w:rPr/>
        <w:t>quantum</w:t>
      </w:r>
      <w:r>
        <w:rPr>
          <w:spacing w:val="-17"/>
        </w:rPr>
        <w:t> </w:t>
      </w:r>
      <w:r>
        <w:rPr/>
        <w:t>dots</w:t>
      </w:r>
      <w:r>
        <w:rPr>
          <w:spacing w:val="-16"/>
        </w:rPr>
        <w:t> </w:t>
      </w:r>
      <w:r>
        <w:rPr/>
        <w:t>are</w:t>
      </w:r>
      <w:r>
        <w:rPr>
          <w:spacing w:val="-17"/>
        </w:rPr>
        <w:t> </w:t>
      </w:r>
      <w:r>
        <w:rPr/>
        <w:t>a</w:t>
      </w:r>
      <w:r>
        <w:rPr>
          <w:spacing w:val="-17"/>
        </w:rPr>
        <w:t> </w:t>
      </w:r>
      <w:r>
        <w:rPr/>
        <w:t>compelling</w:t>
      </w:r>
      <w:r>
        <w:rPr>
          <w:spacing w:val="-16"/>
        </w:rPr>
        <w:t> </w:t>
      </w:r>
      <w:r>
        <w:rPr/>
        <w:t>platform</w:t>
      </w:r>
      <w:r>
        <w:rPr>
          <w:spacing w:val="-17"/>
        </w:rPr>
        <w:t> </w:t>
      </w:r>
      <w:r>
        <w:rPr/>
        <w:t>for</w:t>
      </w:r>
      <w:r>
        <w:rPr>
          <w:spacing w:val="-17"/>
        </w:rPr>
        <w:t> </w:t>
      </w:r>
      <w:r>
        <w:rPr/>
        <w:t>scalable</w:t>
      </w:r>
      <w:r>
        <w:rPr>
          <w:spacing w:val="-16"/>
        </w:rPr>
        <w:t> </w:t>
      </w:r>
      <w:r>
        <w:rPr/>
        <w:t>quan- tum</w:t>
      </w:r>
      <w:r>
        <w:rPr>
          <w:spacing w:val="-7"/>
        </w:rPr>
        <w:t> </w:t>
      </w:r>
      <w:r>
        <w:rPr/>
        <w:t>computing,</w:t>
      </w:r>
      <w:r>
        <w:rPr>
          <w:spacing w:val="-7"/>
        </w:rPr>
        <w:t> </w:t>
      </w:r>
      <w:r>
        <w:rPr/>
        <w:t>yet</w:t>
      </w:r>
      <w:r>
        <w:rPr>
          <w:spacing w:val="-7"/>
        </w:rPr>
        <w:t> </w:t>
      </w:r>
      <w:r>
        <w:rPr/>
        <w:t>their</w:t>
      </w:r>
      <w:r>
        <w:rPr>
          <w:spacing w:val="-7"/>
        </w:rPr>
        <w:t> </w:t>
      </w:r>
      <w:r>
        <w:rPr/>
        <w:t>further</w:t>
      </w:r>
      <w:r>
        <w:rPr>
          <w:spacing w:val="-7"/>
        </w:rPr>
        <w:t> </w:t>
      </w:r>
      <w:r>
        <w:rPr/>
        <w:t>development</w:t>
      </w:r>
      <w:r>
        <w:rPr>
          <w:spacing w:val="-7"/>
        </w:rPr>
        <w:t> </w:t>
      </w:r>
      <w:r>
        <w:rPr/>
        <w:t>requires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systematic</w:t>
      </w:r>
      <w:r>
        <w:rPr>
          <w:spacing w:val="-7"/>
        </w:rPr>
        <w:t> </w:t>
      </w:r>
      <w:r>
        <w:rPr/>
        <w:t>understanding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both gate</w:t>
      </w:r>
      <w:r>
        <w:rPr>
          <w:spacing w:val="-5"/>
        </w:rPr>
        <w:t> </w:t>
      </w:r>
      <w:r>
        <w:rPr/>
        <w:t>performance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environmental</w:t>
      </w:r>
      <w:r>
        <w:rPr>
          <w:spacing w:val="-6"/>
        </w:rPr>
        <w:t> </w:t>
      </w:r>
      <w:r>
        <w:rPr/>
        <w:t>noise.</w:t>
      </w:r>
      <w:r>
        <w:rPr>
          <w:spacing w:val="19"/>
        </w:rPr>
        <w:t> </w:t>
      </w:r>
      <w:r>
        <w:rPr/>
        <w:t>Here,</w:t>
      </w:r>
      <w:r>
        <w:rPr>
          <w:spacing w:val="-5"/>
        </w:rPr>
        <w:t> </w:t>
      </w:r>
      <w:r>
        <w:rPr/>
        <w:t>we</w:t>
      </w:r>
      <w:r>
        <w:rPr>
          <w:spacing w:val="-6"/>
        </w:rPr>
        <w:t> </w:t>
      </w:r>
      <w:r>
        <w:rPr/>
        <w:t>characterize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two-qubit</w:t>
      </w:r>
      <w:r>
        <w:rPr>
          <w:spacing w:val="-6"/>
        </w:rPr>
        <w:t> </w:t>
      </w:r>
      <w:r>
        <w:rPr/>
        <w:t>device</w:t>
      </w:r>
      <w:r>
        <w:rPr>
          <w:spacing w:val="-5"/>
        </w:rPr>
        <w:t> </w:t>
      </w:r>
      <w:r>
        <w:rPr/>
        <w:t>fabri- cated</w:t>
      </w:r>
      <w:r>
        <w:rPr>
          <w:spacing w:val="-15"/>
        </w:rPr>
        <w:t> </w:t>
      </w:r>
      <w:r>
        <w:rPr/>
        <w:t>on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natural</w:t>
      </w:r>
      <w:r>
        <w:rPr>
          <w:spacing w:val="-15"/>
        </w:rPr>
        <w:t> </w:t>
      </w:r>
      <w:r>
        <w:rPr/>
        <w:t>Si/SiGe</w:t>
      </w:r>
      <w:r>
        <w:rPr>
          <w:spacing w:val="-15"/>
        </w:rPr>
        <w:t> </w:t>
      </w:r>
      <w:r>
        <w:rPr/>
        <w:t>heterostructure.</w:t>
      </w:r>
      <w:r>
        <w:rPr>
          <w:spacing w:val="10"/>
        </w:rPr>
        <w:t> </w:t>
      </w:r>
      <w:r>
        <w:rPr/>
        <w:t>We</w:t>
      </w:r>
      <w:r>
        <w:rPr>
          <w:spacing w:val="-15"/>
        </w:rPr>
        <w:t> </w:t>
      </w:r>
      <w:r>
        <w:rPr/>
        <w:t>achieve</w:t>
      </w:r>
      <w:r>
        <w:rPr>
          <w:spacing w:val="-15"/>
        </w:rPr>
        <w:t> </w:t>
      </w:r>
      <w:r>
        <w:rPr/>
        <w:t>Rabi</w:t>
      </w:r>
      <w:r>
        <w:rPr>
          <w:spacing w:val="-15"/>
        </w:rPr>
        <w:t> </w:t>
      </w:r>
      <w:r>
        <w:rPr/>
        <w:t>oscillations</w:t>
      </w:r>
      <w:r>
        <w:rPr>
          <w:spacing w:val="-15"/>
        </w:rPr>
        <w:t> </w:t>
      </w:r>
      <w:r>
        <w:rPr/>
        <w:t>up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5</w:t>
      </w:r>
      <w:r>
        <w:rPr>
          <w:spacing w:val="-15"/>
        </w:rPr>
        <w:t> </w:t>
      </w:r>
      <w:r>
        <w:rPr/>
        <w:t>MHz,</w:t>
      </w:r>
      <w:r>
        <w:rPr>
          <w:spacing w:val="-14"/>
        </w:rPr>
        <w:t> </w:t>
      </w:r>
      <w:r>
        <w:rPr/>
        <w:t>with Q-factors</w:t>
      </w:r>
      <w:r>
        <w:rPr>
          <w:spacing w:val="-2"/>
        </w:rPr>
        <w:t> </w:t>
      </w:r>
      <w:r>
        <w:rPr/>
        <w:t>remain</w:t>
      </w:r>
      <w:r>
        <w:rPr>
          <w:spacing w:val="-2"/>
        </w:rPr>
        <w:t> </w:t>
      </w:r>
      <w:r>
        <w:rPr/>
        <w:t>unsaturated,</w:t>
      </w:r>
      <w:r>
        <w:rPr>
          <w:spacing w:val="-1"/>
        </w:rPr>
        <w:t> </w:t>
      </w:r>
      <w:r>
        <w:rPr/>
        <w:t>suggesting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further</w:t>
      </w:r>
      <w:r>
        <w:rPr>
          <w:spacing w:val="-2"/>
        </w:rPr>
        <w:t> </w:t>
      </w:r>
      <w:r>
        <w:rPr/>
        <w:t>improvements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possible</w:t>
      </w:r>
      <w:r>
        <w:rPr>
          <w:spacing w:val="-2"/>
        </w:rPr>
        <w:t> </w:t>
      </w:r>
      <w:r>
        <w:rPr/>
        <w:t>with </w:t>
      </w:r>
      <w:r>
        <w:rPr>
          <w:spacing w:val="-2"/>
        </w:rPr>
        <w:t>optimized</w:t>
      </w:r>
      <w:r>
        <w:rPr>
          <w:spacing w:val="-9"/>
        </w:rPr>
        <w:t> </w:t>
      </w:r>
      <w:r>
        <w:rPr>
          <w:spacing w:val="-2"/>
        </w:rPr>
        <w:t>drive</w:t>
      </w:r>
      <w:r>
        <w:rPr>
          <w:spacing w:val="-8"/>
        </w:rPr>
        <w:t> </w:t>
      </w:r>
      <w:r>
        <w:rPr>
          <w:spacing w:val="-2"/>
        </w:rPr>
        <w:t>power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calibration.</w:t>
      </w:r>
      <w:r>
        <w:rPr>
          <w:spacing w:val="30"/>
        </w:rPr>
        <w:t> </w:t>
      </w:r>
      <w:r>
        <w:rPr>
          <w:spacing w:val="-2"/>
        </w:rPr>
        <w:t>Randomized</w:t>
      </w:r>
      <w:r>
        <w:rPr>
          <w:spacing w:val="-8"/>
        </w:rPr>
        <w:t> </w:t>
      </w:r>
      <w:r>
        <w:rPr>
          <w:spacing w:val="-2"/>
        </w:rPr>
        <w:t>benchmarking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gate-set</w:t>
      </w:r>
      <w:r>
        <w:rPr>
          <w:spacing w:val="-8"/>
        </w:rPr>
        <w:t> </w:t>
      </w:r>
      <w:r>
        <w:rPr>
          <w:spacing w:val="-2"/>
        </w:rPr>
        <w:t>tomography </w:t>
      </w:r>
      <w:r>
        <w:rPr/>
        <w:t>both confirm average single gate fidelities exceeding 99%.</w:t>
      </w:r>
    </w:p>
    <w:p>
      <w:pPr>
        <w:pStyle w:val="BodyText"/>
        <w:spacing w:line="172" w:lineRule="auto"/>
        <w:ind w:left="645" w:right="643" w:firstLine="298"/>
        <w:jc w:val="both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46.437012pt;margin-top:5.551465pt;width:4pt;height:7pt;mso-position-horizontal-relative:page;mso-position-vertical-relative:paragraph;z-index:-15756800" type="#_x0000_t202" id="docshape1" filled="false" stroked="false">
            <v:textbox inset="0,0,0,0">
              <w:txbxContent>
                <w:p>
                  <w:pPr>
                    <w:spacing w:line="137" w:lineRule="exact" w:before="0"/>
                    <w:ind w:left="0" w:right="0" w:firstLine="0"/>
                    <w:jc w:val="left"/>
                    <w:rPr>
                      <w:rFonts w:ascii="Bookman Old Style"/>
                      <w:b w:val="0"/>
                      <w:sz w:val="14"/>
                    </w:rPr>
                  </w:pPr>
                  <w:r>
                    <w:rPr>
                      <w:rFonts w:ascii="Bookman Old Style"/>
                      <w:b w:val="0"/>
                      <w:w w:val="91"/>
                      <w:sz w:val="14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t>The</w:t>
      </w:r>
      <w:r>
        <w:rPr>
          <w:spacing w:val="-16"/>
        </w:rPr>
        <w:t> </w:t>
      </w:r>
      <w:r>
        <w:rPr/>
        <w:t>order-of-magnitude</w:t>
      </w:r>
      <w:r>
        <w:rPr>
          <w:spacing w:val="-3"/>
        </w:rPr>
        <w:t> </w:t>
      </w:r>
      <w:r>
        <w:rPr/>
        <w:t>difference</w:t>
      </w:r>
      <w:r>
        <w:rPr>
          <w:spacing w:val="-3"/>
        </w:rPr>
        <w:t> </w:t>
      </w:r>
      <w:r>
        <w:rPr/>
        <w:t>between</w:t>
      </w:r>
      <w:r>
        <w:rPr>
          <w:spacing w:val="-3"/>
        </w:rPr>
        <w:t> </w:t>
      </w:r>
      <w:r>
        <w:rPr>
          <w:rFonts w:ascii="Garamond" w:hAnsi="Garamond"/>
          <w:i/>
        </w:rPr>
        <w:t>T</w:t>
      </w:r>
      <w:r>
        <w:rPr>
          <w:rFonts w:ascii="Bookman Old Style" w:hAnsi="Bookman Old Style"/>
          <w:b w:val="0"/>
          <w:position w:val="-4"/>
          <w:sz w:val="14"/>
        </w:rPr>
        <w:t>2</w:t>
      </w:r>
      <w:r>
        <w:rPr>
          <w:rFonts w:ascii="Cambria" w:hAnsi="Cambria"/>
          <w:position w:val="7"/>
          <w:sz w:val="14"/>
        </w:rPr>
        <w:t>∗</w:t>
      </w:r>
      <w:r>
        <w:rPr>
          <w:rFonts w:ascii="Cambria" w:hAnsi="Cambria"/>
          <w:spacing w:val="40"/>
          <w:position w:val="7"/>
          <w:sz w:val="14"/>
        </w:rPr>
        <w:t> </w:t>
      </w:r>
      <w:r>
        <w:rPr/>
        <w:t>and</w:t>
      </w:r>
      <w:r>
        <w:rPr>
          <w:spacing w:val="-3"/>
        </w:rPr>
        <w:t> </w:t>
      </w:r>
      <w:r>
        <w:rPr>
          <w:rFonts w:ascii="Garamond" w:hAnsi="Garamond"/>
          <w:i/>
        </w:rPr>
        <w:t>T</w:t>
      </w:r>
      <w:r>
        <w:rPr>
          <w:rFonts w:ascii="Garamond" w:hAnsi="Garamond"/>
          <w:i/>
          <w:spacing w:val="-13"/>
        </w:rPr>
        <w:t> </w:t>
      </w:r>
      <w:r>
        <w:rPr>
          <w:rFonts w:ascii="Bookman Old Style" w:hAnsi="Bookman Old Style"/>
          <w:b w:val="0"/>
          <w:vertAlign w:val="superscript"/>
        </w:rPr>
        <w:t>echo</w:t>
      </w:r>
      <w:r>
        <w:rPr>
          <w:vertAlign w:val="baseline"/>
        </w:rPr>
        <w:t>,</w:t>
      </w:r>
      <w:r>
        <w:rPr>
          <w:spacing w:val="-1"/>
          <w:vertAlign w:val="baseline"/>
        </w:rPr>
        <w:t> </w:t>
      </w:r>
      <w:r>
        <w:rPr>
          <w:vertAlign w:val="baseline"/>
        </w:rPr>
        <w:t>together</w:t>
      </w:r>
      <w:r>
        <w:rPr>
          <w:spacing w:val="-3"/>
          <w:vertAlign w:val="baseline"/>
        </w:rPr>
        <w:t> </w:t>
      </w:r>
      <w:r>
        <w:rPr>
          <w:vertAlign w:val="baseline"/>
        </w:rPr>
        <w:t>with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up</w:t>
      </w:r>
      <w:r>
        <w:rPr>
          <w:spacing w:val="-3"/>
          <w:vertAlign w:val="baseline"/>
        </w:rPr>
        <w:t> </w:t>
      </w:r>
      <w:r>
        <w:rPr>
          <w:vertAlign w:val="baseline"/>
        </w:rPr>
        <w:t>to</w:t>
      </w:r>
      <w:r>
        <w:rPr>
          <w:spacing w:val="-3"/>
          <w:vertAlign w:val="baseline"/>
        </w:rPr>
        <w:t> </w:t>
      </w:r>
      <w:r>
        <w:rPr>
          <w:vertAlign w:val="baseline"/>
        </w:rPr>
        <w:t>two- orders-of-magnitude</w:t>
      </w:r>
      <w:r>
        <w:rPr>
          <w:spacing w:val="-12"/>
          <w:vertAlign w:val="baseline"/>
        </w:rPr>
        <w:t> </w:t>
      </w:r>
      <w:r>
        <w:rPr>
          <w:vertAlign w:val="baseline"/>
        </w:rPr>
        <w:t>enhancement</w:t>
      </w:r>
      <w:r>
        <w:rPr>
          <w:spacing w:val="-12"/>
          <w:vertAlign w:val="baseline"/>
        </w:rPr>
        <w:t> </w:t>
      </w:r>
      <w:r>
        <w:rPr>
          <w:vertAlign w:val="baseline"/>
        </w:rPr>
        <w:t>observed</w:t>
      </w:r>
      <w:r>
        <w:rPr>
          <w:spacing w:val="-12"/>
          <w:vertAlign w:val="baseline"/>
        </w:rPr>
        <w:t> </w:t>
      </w:r>
      <w:r>
        <w:rPr>
          <w:vertAlign w:val="baseline"/>
        </w:rPr>
        <w:t>under</w:t>
      </w:r>
      <w:r>
        <w:rPr>
          <w:spacing w:val="-12"/>
          <w:vertAlign w:val="baseline"/>
        </w:rPr>
        <w:t> </w:t>
      </w:r>
      <w:r>
        <w:rPr>
          <w:vertAlign w:val="baseline"/>
        </w:rPr>
        <w:t>CPMG</w:t>
      </w:r>
      <w:r>
        <w:rPr>
          <w:spacing w:val="-12"/>
          <w:vertAlign w:val="baseline"/>
        </w:rPr>
        <w:t> </w:t>
      </w:r>
      <w:r>
        <w:rPr>
          <w:vertAlign w:val="baseline"/>
        </w:rPr>
        <w:t>sequences,</w:t>
      </w:r>
      <w:r>
        <w:rPr>
          <w:spacing w:val="-11"/>
          <w:vertAlign w:val="baseline"/>
        </w:rPr>
        <w:t> </w:t>
      </w:r>
      <w:r>
        <w:rPr>
          <w:vertAlign w:val="baseline"/>
        </w:rPr>
        <w:t>indicates</w:t>
      </w:r>
      <w:r>
        <w:rPr>
          <w:spacing w:val="-12"/>
          <w:vertAlign w:val="baseline"/>
        </w:rPr>
        <w:t> </w:t>
      </w:r>
      <w:r>
        <w:rPr>
          <w:vertAlign w:val="baseline"/>
        </w:rPr>
        <w:t>that</w:t>
      </w:r>
      <w:r>
        <w:rPr>
          <w:spacing w:val="-12"/>
          <w:vertAlign w:val="baseline"/>
        </w:rPr>
        <w:t> </w:t>
      </w:r>
      <w:r>
        <w:rPr>
          <w:vertAlign w:val="baseline"/>
        </w:rPr>
        <w:t>low</w:t>
      </w:r>
      <w:r>
        <w:rPr>
          <w:spacing w:val="-12"/>
          <w:vertAlign w:val="baseline"/>
        </w:rPr>
        <w:t> </w:t>
      </w:r>
      <w:r>
        <w:rPr>
          <w:vertAlign w:val="baseline"/>
        </w:rPr>
        <w:t>fre- quency</w:t>
      </w:r>
      <w:r>
        <w:rPr>
          <w:spacing w:val="-2"/>
          <w:vertAlign w:val="baseline"/>
        </w:rPr>
        <w:t> </w:t>
      </w:r>
      <w:r>
        <w:rPr>
          <w:vertAlign w:val="baseline"/>
        </w:rPr>
        <w:t>noise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qubit</w:t>
      </w:r>
      <w:r>
        <w:rPr>
          <w:spacing w:val="-2"/>
          <w:vertAlign w:val="baseline"/>
        </w:rPr>
        <w:t> </w:t>
      </w:r>
      <w:r>
        <w:rPr>
          <w:vertAlign w:val="baseline"/>
        </w:rPr>
        <w:t>frequency</w:t>
      </w:r>
      <w:r>
        <w:rPr>
          <w:spacing w:val="-2"/>
          <w:vertAlign w:val="baseline"/>
        </w:rPr>
        <w:t> </w:t>
      </w:r>
      <w:r>
        <w:rPr>
          <w:vertAlign w:val="baseline"/>
        </w:rPr>
        <w:t>is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-2"/>
          <w:vertAlign w:val="baseline"/>
        </w:rPr>
        <w:t> </w:t>
      </w:r>
      <w:r>
        <w:rPr>
          <w:vertAlign w:val="baseline"/>
        </w:rPr>
        <w:t>dominant</w:t>
      </w:r>
      <w:r>
        <w:rPr>
          <w:spacing w:val="-2"/>
          <w:vertAlign w:val="baseline"/>
        </w:rPr>
        <w:t> </w:t>
      </w:r>
      <w:r>
        <w:rPr>
          <w:vertAlign w:val="baseline"/>
        </w:rPr>
        <w:t>decoherence</w:t>
      </w:r>
      <w:r>
        <w:rPr>
          <w:spacing w:val="-2"/>
          <w:vertAlign w:val="baseline"/>
        </w:rPr>
        <w:t> </w:t>
      </w:r>
      <w:r>
        <w:rPr>
          <w:vertAlign w:val="baseline"/>
        </w:rPr>
        <w:t>channel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our</w:t>
      </w:r>
      <w:r>
        <w:rPr>
          <w:spacing w:val="-2"/>
          <w:vertAlign w:val="baseline"/>
        </w:rPr>
        <w:t> </w:t>
      </w:r>
      <w:r>
        <w:rPr>
          <w:vertAlign w:val="baseline"/>
        </w:rPr>
        <w:t>system.</w:t>
      </w:r>
      <w:r>
        <w:rPr>
          <w:spacing w:val="25"/>
          <w:vertAlign w:val="baseline"/>
        </w:rPr>
        <w:t> </w:t>
      </w:r>
      <w:r>
        <w:rPr>
          <w:vertAlign w:val="baseline"/>
        </w:rPr>
        <w:t>We therefore employ repetitive Ramsey interferometry measurements (RIMs) [1] to probe </w:t>
      </w:r>
      <w:r>
        <w:rPr>
          <w:vertAlign w:val="baseline"/>
        </w:rPr>
        <w:t>the noise strength and statistical properties without relying on complex dynamical decoupling </w:t>
      </w:r>
      <w:r>
        <w:rPr>
          <w:w w:val="95"/>
          <w:vertAlign w:val="baseline"/>
        </w:rPr>
        <w:t>pulses, providing guidance for future optimization of gate-control pulses and noise-mitigation </w:t>
      </w:r>
      <w:r>
        <w:rPr>
          <w:spacing w:val="-2"/>
          <w:vertAlign w:val="baseline"/>
        </w:rPr>
        <w:t>strategies.</w:t>
      </w:r>
    </w:p>
    <w:p>
      <w:pPr>
        <w:pStyle w:val="BodyText"/>
        <w:spacing w:before="2"/>
        <w:rPr>
          <w:sz w:val="19"/>
        </w:rPr>
      </w:pPr>
    </w:p>
    <w:p>
      <w:pPr>
        <w:spacing w:before="0"/>
        <w:ind w:left="100" w:right="0" w:firstLine="0"/>
        <w:jc w:val="left"/>
        <w:rPr>
          <w:rFonts w:ascii="Palatino Linotype"/>
          <w:b/>
          <w:sz w:val="28"/>
        </w:rPr>
      </w:pPr>
      <w:r>
        <w:rPr>
          <w:rFonts w:ascii="Palatino Linotype"/>
          <w:b/>
          <w:spacing w:val="-2"/>
          <w:w w:val="110"/>
          <w:sz w:val="28"/>
        </w:rPr>
        <w:t>References</w:t>
      </w:r>
    </w:p>
    <w:p>
      <w:pPr>
        <w:spacing w:line="177" w:lineRule="auto" w:before="216"/>
        <w:ind w:left="439" w:right="0" w:hanging="340"/>
        <w:jc w:val="left"/>
        <w:rPr>
          <w:sz w:val="22"/>
        </w:rPr>
      </w:pPr>
      <w:r>
        <w:rPr>
          <w:sz w:val="22"/>
        </w:rPr>
        <w:t>[1]</w:t>
      </w:r>
      <w:r>
        <w:rPr>
          <w:spacing w:val="21"/>
          <w:sz w:val="22"/>
        </w:rPr>
        <w:t> </w:t>
      </w:r>
      <w:r>
        <w:rPr>
          <w:sz w:val="22"/>
        </w:rPr>
        <w:t>Y.-D.</w:t>
      </w:r>
      <w:r>
        <w:rPr>
          <w:spacing w:val="-7"/>
          <w:sz w:val="22"/>
        </w:rPr>
        <w:t> </w:t>
      </w:r>
      <w:r>
        <w:rPr>
          <w:sz w:val="22"/>
        </w:rPr>
        <w:t>Jin,</w:t>
      </w:r>
      <w:r>
        <w:rPr>
          <w:spacing w:val="-5"/>
          <w:sz w:val="22"/>
        </w:rPr>
        <w:t> </w:t>
      </w:r>
      <w:r>
        <w:rPr>
          <w:sz w:val="22"/>
        </w:rPr>
        <w:t>Z.-F.</w:t>
      </w:r>
      <w:r>
        <w:rPr>
          <w:spacing w:val="-6"/>
          <w:sz w:val="22"/>
        </w:rPr>
        <w:t> </w:t>
      </w:r>
      <w:r>
        <w:rPr>
          <w:sz w:val="22"/>
        </w:rPr>
        <w:t>Ye,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6"/>
          <w:sz w:val="22"/>
        </w:rPr>
        <w:t> </w:t>
      </w:r>
      <w:r>
        <w:rPr>
          <w:sz w:val="22"/>
        </w:rPr>
        <w:t>W.-L.</w:t>
      </w:r>
      <w:r>
        <w:rPr>
          <w:spacing w:val="-6"/>
          <w:sz w:val="22"/>
        </w:rPr>
        <w:t> </w:t>
      </w:r>
      <w:r>
        <w:rPr>
          <w:sz w:val="22"/>
        </w:rPr>
        <w:t>Ma,</w:t>
      </w:r>
      <w:r>
        <w:rPr>
          <w:spacing w:val="-5"/>
          <w:sz w:val="22"/>
        </w:rPr>
        <w:t> </w:t>
      </w:r>
      <w:r>
        <w:rPr>
          <w:sz w:val="22"/>
        </w:rPr>
        <w:t>“Universal</w:t>
      </w:r>
      <w:r>
        <w:rPr>
          <w:spacing w:val="-7"/>
          <w:sz w:val="22"/>
        </w:rPr>
        <w:t> </w:t>
      </w:r>
      <w:r>
        <w:rPr>
          <w:sz w:val="22"/>
        </w:rPr>
        <w:t>Characterization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Classical</w:t>
      </w:r>
      <w:r>
        <w:rPr>
          <w:spacing w:val="-7"/>
          <w:sz w:val="22"/>
        </w:rPr>
        <w:t> </w:t>
      </w:r>
      <w:r>
        <w:rPr>
          <w:sz w:val="22"/>
        </w:rPr>
        <w:t>Qubit</w:t>
      </w:r>
      <w:r>
        <w:rPr>
          <w:spacing w:val="-6"/>
          <w:sz w:val="22"/>
        </w:rPr>
        <w:t> </w:t>
      </w:r>
      <w:r>
        <w:rPr>
          <w:sz w:val="22"/>
        </w:rPr>
        <w:t>Noise,”</w:t>
      </w:r>
      <w:r>
        <w:rPr>
          <w:sz w:val="22"/>
        </w:rPr>
        <w:t> arXiv:2604.25705 (2026).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5"/>
        <w:rPr>
          <w:sz w:val="37"/>
        </w:rPr>
      </w:pPr>
    </w:p>
    <w:p>
      <w:pPr>
        <w:spacing w:before="0"/>
        <w:ind w:left="0" w:right="0" w:firstLine="0"/>
        <w:jc w:val="center"/>
        <w:rPr>
          <w:sz w:val="22"/>
        </w:rPr>
      </w:pPr>
      <w:r>
        <w:rPr>
          <w:w w:val="99"/>
          <w:sz w:val="22"/>
        </w:rPr>
        <w:t>1</w:t>
      </w:r>
    </w:p>
    <w:sectPr>
      <w:type w:val="continuous"/>
      <w:pgSz w:w="11910" w:h="16840"/>
      <w:pgMar w:top="1920" w:bottom="280" w:left="134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alatino Linotype">
    <w:altName w:val="Palatino Linotype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Euclid">
    <w:altName w:val="Euclid"/>
    <w:charset w:val="0"/>
    <w:family w:val="roman"/>
    <w:pitch w:val="variable"/>
  </w:font>
  <w:font w:name="Garamond">
    <w:altName w:val="Garamond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Bookman Old Style">
    <w:altName w:val="Bookman Old Style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Euclid" w:hAnsi="Euclid" w:eastAsia="Euclid" w:cs="Euclid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Euclid" w:hAnsi="Euclid" w:eastAsia="Euclid" w:cs="Euclid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49"/>
      <w:ind w:left="637" w:right="635"/>
      <w:jc w:val="center"/>
    </w:pPr>
    <w:rPr>
      <w:rFonts w:ascii="Palatino Linotype" w:hAnsi="Palatino Linotype" w:eastAsia="Palatino Linotype" w:cs="Palatino Linotype"/>
      <w:b/>
      <w:bCs/>
      <w:sz w:val="34"/>
      <w:szCs w:val="3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2026-05-30T05:20:32Z</dcterms:created>
  <dcterms:modified xsi:type="dcterms:W3CDTF">2026-05-30T05:20:32Z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2026-05-30T00:00:00Z</vt:filetime>
  </property>
  <property fmtid="{D5CDD505-2E9C-101B-9397-08002B2CF9AE}" pid="3" name="Creator">
    <vt:lpwstr> XeTeX output 2026.05.30:0047</vt:lpwstr>
  </property>
  <property fmtid="{D5CDD505-2E9C-101B-9397-08002B2CF9AE}" pid="4" name="LastSaved">
    <vt:filetime>2026-05-30T00:00:00Z</vt:filetime>
  </property>
</Properties>
</file>