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B0709" w:rsidRPr="003F24CE" w:rsidRDefault="003F24CE">
      <w:pPr>
        <w:pStyle w:val="Heading1"/>
        <w:spacing w:before="0" w:after="120" w:line="275" w:lineRule="auto"/>
        <w:rPr>
          <w:rFonts w:ascii="Google Sans" w:eastAsia="Google Sans" w:hAnsi="Google Sans" w:cs="Google Sans"/>
          <w:color w:val="1F1F1F"/>
          <w:sz w:val="34"/>
        </w:rPr>
      </w:pPr>
      <w:r w:rsidRPr="003F24CE">
        <w:rPr>
          <w:rFonts w:ascii="Google Sans" w:eastAsia="Google Sans" w:hAnsi="Google Sans" w:cs="Google Sans"/>
          <w:color w:val="1F1F1F"/>
          <w:sz w:val="34"/>
        </w:rPr>
        <w:t>Enhanced Coherence of an Industry-Compatible Silicon Spin Qubit through Correlated Noise Suppression</w:t>
      </w:r>
    </w:p>
    <w:p w:rsidR="008B0709" w:rsidRDefault="003F24CE">
      <w:pPr>
        <w:pBdr>
          <w:top w:val="nil"/>
          <w:left w:val="nil"/>
          <w:bottom w:val="nil"/>
          <w:right w:val="nil"/>
          <w:between w:val="nil"/>
        </w:pBdr>
        <w:spacing w:after="240" w:line="275" w:lineRule="auto"/>
        <w:rPr>
          <w:rFonts w:ascii="Google Sans" w:eastAsia="Google Sans" w:hAnsi="Google Sans" w:cs="Google Sans"/>
          <w:color w:val="1F1F1F"/>
        </w:rPr>
      </w:pPr>
      <w:r>
        <w:rPr>
          <w:rFonts w:ascii="Google Sans" w:eastAsia="Google Sans" w:hAnsi="Google Sans" w:cs="Google Sans"/>
          <w:b/>
          <w:bCs/>
          <w:color w:val="1F1F1F"/>
        </w:rPr>
        <w:t>Authors:</w:t>
      </w:r>
      <w:r>
        <w:rPr>
          <w:rFonts w:ascii="Google Sans" w:eastAsia="Google Sans" w:hAnsi="Google Sans" w:cs="Google Sans"/>
          <w:color w:val="1F1F1F"/>
        </w:rPr>
        <w:t xml:space="preserve"> Petar Tomić¹, Patrick Bütler¹, Yuze Wu¹, Bart Raes², Clement Godfrin², Stefan Kubicek², Julien Jussot², Yann Canvel², Yannick Hermans², Yosuke Shimura², Roger Loo², Sofie Beyne², Gulzat Jaliel², Thomas Van Caekenberghe²</w:t>
      </w:r>
      <w:r w:rsidRPr="003F24CE">
        <w:rPr>
          <w:rFonts w:ascii="Google Sans" w:eastAsia="Google Sans" w:hAnsi="Google Sans" w:cs="Google Sans"/>
          <w:color w:val="1F1F1F"/>
          <w:vertAlign w:val="superscript"/>
        </w:rPr>
        <w:t>,</w:t>
      </w:r>
      <w:r>
        <w:rPr>
          <w:rFonts w:ascii="Google Sans" w:eastAsia="Google Sans" w:hAnsi="Google Sans" w:cs="Google Sans"/>
          <w:color w:val="1F1F1F"/>
        </w:rPr>
        <w:t>³, Vukan Levajac², Danny Wan², Kris</w:t>
      </w:r>
      <w:r>
        <w:rPr>
          <w:rFonts w:ascii="Google Sans" w:eastAsia="Google Sans" w:hAnsi="Google Sans" w:cs="Google Sans"/>
          <w:color w:val="1F1F1F"/>
        </w:rPr>
        <w:t>tiaan De Greve²</w:t>
      </w:r>
      <w:bookmarkStart w:id="0" w:name="_GoBack"/>
      <w:r w:rsidRPr="003F24CE">
        <w:rPr>
          <w:rFonts w:ascii="Google Sans" w:eastAsia="Google Sans" w:hAnsi="Google Sans" w:cs="Google Sans"/>
          <w:color w:val="1F1F1F"/>
          <w:vertAlign w:val="superscript"/>
        </w:rPr>
        <w:t>,</w:t>
      </w:r>
      <w:bookmarkEnd w:id="0"/>
      <w:r>
        <w:rPr>
          <w:rFonts w:ascii="Google Sans" w:eastAsia="Google Sans" w:hAnsi="Google Sans" w:cs="Google Sans"/>
          <w:color w:val="1F1F1F"/>
        </w:rPr>
        <w:t>⁴, Wister Wei Huang¹</w:t>
      </w:r>
      <w:r w:rsidRPr="003F24CE">
        <w:rPr>
          <w:rFonts w:ascii="Google Sans" w:eastAsia="Google Sans" w:hAnsi="Google Sans" w:cs="Google Sans"/>
          <w:color w:val="1F1F1F"/>
          <w:vertAlign w:val="superscript"/>
        </w:rPr>
        <w:t>,</w:t>
      </w:r>
      <w:r>
        <w:rPr>
          <w:rFonts w:ascii="Google Sans" w:eastAsia="Google Sans" w:hAnsi="Google Sans" w:cs="Google Sans"/>
          <w:color w:val="1F1F1F"/>
        </w:rPr>
        <w:t>⁵</w:t>
      </w:r>
      <w:r>
        <w:rPr>
          <w:rFonts w:ascii="Google Sans" w:eastAsia="Google Sans" w:hAnsi="Google Sans" w:cs="Google Sans"/>
          <w:color w:val="1F1F1F"/>
        </w:rPr>
        <w:t>, Klaus Ensslin¹, and Thomas Ihn¹</w:t>
      </w:r>
    </w:p>
    <w:p w:rsidR="008B0709" w:rsidRDefault="003F24CE">
      <w:pPr>
        <w:pBdr>
          <w:top w:val="nil"/>
          <w:left w:val="nil"/>
          <w:bottom w:val="nil"/>
          <w:right w:val="nil"/>
          <w:between w:val="nil"/>
        </w:pBdr>
        <w:spacing w:after="240" w:line="275" w:lineRule="auto"/>
        <w:rPr>
          <w:rFonts w:ascii="Google Sans" w:eastAsia="Google Sans" w:hAnsi="Google Sans" w:cs="Google Sans"/>
          <w:b/>
          <w:bCs/>
          <w:color w:val="1F1F1F"/>
        </w:rPr>
      </w:pPr>
      <w:r>
        <w:rPr>
          <w:rFonts w:ascii="Google Sans" w:eastAsia="Google Sans" w:hAnsi="Google Sans" w:cs="Google Sans"/>
          <w:b/>
          <w:bCs/>
          <w:color w:val="1F1F1F"/>
        </w:rPr>
        <w:t>Affiliations:</w:t>
      </w:r>
    </w:p>
    <w:p w:rsidR="008B0709" w:rsidRDefault="003F24CE">
      <w:pPr>
        <w:pBdr>
          <w:top w:val="nil"/>
          <w:left w:val="nil"/>
          <w:bottom w:val="nil"/>
          <w:right w:val="nil"/>
          <w:between w:val="nil"/>
        </w:pBdr>
        <w:spacing w:after="240" w:line="275" w:lineRule="auto"/>
        <w:rPr>
          <w:rFonts w:ascii="Google Sans" w:eastAsia="Google Sans" w:hAnsi="Google Sans" w:cs="Google Sans"/>
          <w:color w:val="1F1F1F"/>
        </w:rPr>
      </w:pPr>
      <w:r>
        <w:rPr>
          <w:rFonts w:ascii="Google Sans" w:eastAsia="Google Sans" w:hAnsi="Google Sans" w:cs="Google Sans"/>
          <w:color w:val="1F1F1F"/>
        </w:rPr>
        <w:t>¹ Laboratory for Solid State Physics, ETH Zürich, Switzerland.</w:t>
      </w:r>
      <w:r>
        <w:rPr>
          <w:rFonts w:ascii="Google Sans" w:eastAsia="Google Sans" w:hAnsi="Google Sans" w:cs="Google Sans"/>
          <w:color w:val="1F1F1F"/>
        </w:rPr>
        <w:br/>
      </w:r>
      <w:r>
        <w:rPr>
          <w:rFonts w:ascii="Google Sans" w:eastAsia="Google Sans" w:hAnsi="Google Sans" w:cs="Google Sans"/>
          <w:color w:val="1F1F1F"/>
        </w:rPr>
        <w:t>² IMEC, Leuven, Belgium.</w:t>
      </w:r>
      <w:r>
        <w:rPr>
          <w:rFonts w:ascii="Google Sans" w:eastAsia="Google Sans" w:hAnsi="Google Sans" w:cs="Google Sans"/>
          <w:color w:val="1F1F1F"/>
        </w:rPr>
        <w:br/>
      </w:r>
      <w:r>
        <w:rPr>
          <w:rFonts w:ascii="Google Sans" w:eastAsia="Google Sans" w:hAnsi="Google Sans" w:cs="Google Sans"/>
          <w:color w:val="1F1F1F"/>
        </w:rPr>
        <w:t>³ KU Leuven, Department of Electrical Engineering (ESAT), Belgium.</w:t>
      </w:r>
      <w:r>
        <w:rPr>
          <w:rFonts w:ascii="Google Sans" w:eastAsia="Google Sans" w:hAnsi="Google Sans" w:cs="Google Sans"/>
          <w:color w:val="1F1F1F"/>
        </w:rPr>
        <w:br/>
      </w:r>
      <w:r>
        <w:rPr>
          <w:rFonts w:ascii="Google Sans" w:eastAsia="Google Sans" w:hAnsi="Google Sans" w:cs="Google Sans"/>
          <w:color w:val="1F1F1F"/>
        </w:rPr>
        <w:t>⁴ Proximus Chai</w:t>
      </w:r>
      <w:r>
        <w:rPr>
          <w:rFonts w:ascii="Google Sans" w:eastAsia="Google Sans" w:hAnsi="Google Sans" w:cs="Google Sans"/>
          <w:color w:val="1F1F1F"/>
        </w:rPr>
        <w:t>r in Quantum Science and Technology, KU Leuven, Belgium.</w:t>
      </w:r>
      <w:r>
        <w:rPr>
          <w:rFonts w:ascii="Google Sans" w:eastAsia="Google Sans" w:hAnsi="Google Sans" w:cs="Google Sans"/>
          <w:color w:val="1F1F1F"/>
        </w:rPr>
        <w:br/>
      </w:r>
      <w:r>
        <w:rPr>
          <w:rFonts w:ascii="Google Sans" w:eastAsia="Google Sans" w:hAnsi="Google Sans" w:cs="Google Sans"/>
          <w:color w:val="1F1F1F"/>
        </w:rPr>
        <w:t>⁵</w:t>
      </w:r>
      <w:r>
        <w:rPr>
          <w:rFonts w:ascii="Google Sans" w:eastAsia="Google Sans" w:hAnsi="Google Sans" w:cs="Google Sans"/>
          <w:color w:val="1F1F1F"/>
        </w:rPr>
        <w:t xml:space="preserve"> National University of Singapore, Singapore.</w:t>
      </w:r>
    </w:p>
    <w:p w:rsidR="008B0709" w:rsidRDefault="003F24CE">
      <w:pPr>
        <w:pStyle w:val="Heading3"/>
        <w:spacing w:before="0" w:after="120" w:line="275" w:lineRule="auto"/>
        <w:rPr>
          <w:rFonts w:ascii="Google Sans" w:eastAsia="Google Sans" w:hAnsi="Google Sans" w:cs="Google Sans"/>
          <w:color w:val="1F1F1F"/>
        </w:rPr>
      </w:pPr>
      <w:r>
        <w:rPr>
          <w:rFonts w:ascii="Google Sans" w:eastAsia="Google Sans" w:hAnsi="Google Sans" w:cs="Google Sans"/>
          <w:color w:val="1F1F1F"/>
        </w:rPr>
        <w:t>Abstract</w:t>
      </w:r>
    </w:p>
    <w:p w:rsidR="008B0709" w:rsidRDefault="003F24CE">
      <w:pPr>
        <w:pBdr>
          <w:top w:val="nil"/>
          <w:left w:val="nil"/>
          <w:bottom w:val="nil"/>
          <w:right w:val="nil"/>
          <w:between w:val="nil"/>
        </w:pBdr>
        <w:spacing w:after="240" w:line="275" w:lineRule="auto"/>
        <w:rPr>
          <w:rFonts w:ascii="Google Sans" w:eastAsia="Google Sans" w:hAnsi="Google Sans" w:cs="Google Sans"/>
          <w:color w:val="1F1F1F"/>
        </w:rPr>
      </w:pPr>
      <w:r>
        <w:rPr>
          <w:rFonts w:ascii="Google Sans" w:eastAsia="Google Sans" w:hAnsi="Google Sans" w:cs="Google Sans"/>
          <w:color w:val="1F1F1F"/>
        </w:rPr>
        <w:t>Silicon spin qubits are a leading candidate for large-scale quantum computing due to their compatibility with industrial CMOS manufacturing pro</w:t>
      </w:r>
      <w:r>
        <w:rPr>
          <w:rFonts w:ascii="Google Sans" w:eastAsia="Google Sans" w:hAnsi="Google Sans" w:cs="Google Sans"/>
          <w:color w:val="1F1F1F"/>
        </w:rPr>
        <w:t>cesses. While highly optimized industrial environments can successfully minimize material defects, the specific limits of quantum coherence in these environments—and how to overcome them—remain critical areas of exploration. In this work, we demonstrate th</w:t>
      </w:r>
      <w:r>
        <w:rPr>
          <w:rFonts w:ascii="Google Sans" w:eastAsia="Google Sans" w:hAnsi="Google Sans" w:cs="Google Sans"/>
          <w:color w:val="1F1F1F"/>
        </w:rPr>
        <w:t>at a combination of a low-noise, 300 mm-compatible spin-qubit process flow and the strategic selection of qubit encoding can significantly enhance coherence.</w:t>
      </w:r>
    </w:p>
    <w:p w:rsidR="008B0709" w:rsidRDefault="003F24CE">
      <w:pPr>
        <w:pBdr>
          <w:top w:val="nil"/>
          <w:left w:val="nil"/>
          <w:bottom w:val="nil"/>
          <w:right w:val="nil"/>
          <w:between w:val="nil"/>
        </w:pBdr>
        <w:spacing w:after="240" w:line="275" w:lineRule="auto"/>
        <w:rPr>
          <w:rFonts w:ascii="Google Sans" w:eastAsia="Google Sans" w:hAnsi="Google Sans" w:cs="Google Sans"/>
          <w:color w:val="1F1F1F"/>
        </w:rPr>
      </w:pPr>
      <w:r>
        <w:rPr>
          <w:rFonts w:ascii="Google Sans" w:eastAsia="Google Sans" w:hAnsi="Google Sans" w:cs="Google Sans"/>
          <w:color w:val="1F1F1F"/>
        </w:rPr>
        <w:t>We report on the operation of a singlet-triplet (</w:t>
      </w:r>
      <m:oMath>
        <m:r>
          <w:rPr>
            <w:rFonts w:ascii="Cambria Math" w:eastAsia="Google Sans" w:hAnsi="Cambria Math" w:cs="Google Sans"/>
            <w:color w:val="1F1F1F"/>
          </w:rPr>
          <m:t>S-</m:t>
        </m:r>
        <m:sSub>
          <m:sSubPr>
            <m:ctrlPr>
              <w:rPr>
                <w:rFonts w:ascii="Cambria Math" w:eastAsia="Google Sans" w:hAnsi="Cambria Math" w:cs="Google Sans"/>
                <w:i/>
                <w:color w:val="1F1F1F"/>
              </w:rPr>
            </m:ctrlPr>
          </m:sSubPr>
          <m:e>
            <m:r>
              <w:rPr>
                <w:rFonts w:ascii="Cambria Math" w:eastAsia="Google Sans" w:hAnsi="Cambria Math" w:cs="Google Sans"/>
                <w:color w:val="1F1F1F"/>
              </w:rPr>
              <m:t>T</m:t>
            </m:r>
          </m:e>
          <m:sub>
            <m:r>
              <w:rPr>
                <w:rFonts w:ascii="Cambria Math" w:eastAsia="Google Sans" w:hAnsi="Cambria Math" w:cs="Google Sans"/>
                <w:color w:val="1F1F1F"/>
              </w:rPr>
              <m:t>0</m:t>
            </m:r>
          </m:sub>
        </m:sSub>
      </m:oMath>
      <w:r>
        <w:rPr>
          <w:rFonts w:ascii="Google Sans" w:eastAsia="Google Sans" w:hAnsi="Google Sans" w:cs="Google Sans"/>
          <w:color w:val="1F1F1F"/>
        </w:rPr>
        <w:t xml:space="preserve">) qubit fabricated on a state-of-the-art 300 mm </w:t>
      </w:r>
      <w:r>
        <w:rPr>
          <w:rFonts w:ascii="Google Sans" w:eastAsia="Google Sans" w:hAnsi="Google Sans" w:cs="Google Sans"/>
          <w:color w:val="1F1F1F"/>
        </w:rPr>
        <w:t xml:space="preserve">CMOS platform featuring polysilicon gates. Our results show that the devices benefit from an exceptionally quiet electrical environment, with measured detuning noise amplitudes as low as </w:t>
      </w:r>
      <m:oMath>
        <m:r>
          <w:rPr>
            <w:rFonts w:ascii="Cambria Math" w:eastAsia="Google Sans" w:hAnsi="Cambria Math" w:cs="Google Sans"/>
            <w:color w:val="1F1F1F"/>
          </w:rPr>
          <m:t>δ</m:t>
        </m:r>
        <m:sSub>
          <m:sSubPr>
            <m:ctrlPr>
              <w:rPr>
                <w:rFonts w:ascii="Cambria Math" w:eastAsia="Google Sans" w:hAnsi="Cambria Math" w:cs="Google Sans"/>
                <w:i/>
                <w:color w:val="1F1F1F"/>
              </w:rPr>
            </m:ctrlPr>
          </m:sSubPr>
          <m:e>
            <m:r>
              <w:rPr>
                <w:rFonts w:ascii="Cambria Math" w:eastAsia="Google Sans" w:hAnsi="Cambria Math" w:cs="Google Sans"/>
                <w:color w:val="1F1F1F"/>
              </w:rPr>
              <m:t>ε</m:t>
            </m:r>
          </m:e>
          <m:sub>
            <m:r>
              <w:rPr>
                <w:rFonts w:ascii="Cambria Math" w:eastAsia="Google Sans" w:hAnsi="Cambria Math" w:cs="Google Sans"/>
                <w:color w:val="1F1F1F"/>
              </w:rPr>
              <m:t>rms</m:t>
            </m:r>
          </m:sub>
        </m:sSub>
        <m:r>
          <w:rPr>
            <w:rFonts w:ascii="Cambria Math" w:eastAsia="Google Sans" w:hAnsi="Cambria Math" w:cs="Google Sans"/>
            <w:color w:val="1F1F1F"/>
          </w:rPr>
          <m:t>=2.2μeV</m:t>
        </m:r>
      </m:oMath>
      <w:r>
        <w:rPr>
          <w:rFonts w:ascii="Google Sans" w:eastAsia="Google Sans" w:hAnsi="Google Sans" w:cs="Google Sans"/>
          <w:color w:val="1F1F1F"/>
        </w:rPr>
        <w:t xml:space="preserve">. Through noise spectroscopy and cross-correlation analysis between </w:t>
      </w:r>
      <w:r>
        <w:rPr>
          <w:rFonts w:ascii="Google Sans" w:eastAsia="Google Sans" w:hAnsi="Google Sans" w:cs="Google Sans"/>
          <w:color w:val="1F1F1F"/>
        </w:rPr>
        <w:t xml:space="preserve">neighboring dots, we identify strong zero-phase correlations in the charge noise. We demonstrate that the </w:t>
      </w:r>
      <m:oMath>
        <m:r>
          <w:rPr>
            <w:rFonts w:ascii="Cambria Math" w:eastAsia="Google Sans" w:hAnsi="Cambria Math" w:cs="Google Sans"/>
            <w:color w:val="1F1F1F"/>
          </w:rPr>
          <m:t>S-</m:t>
        </m:r>
        <m:sSub>
          <m:sSubPr>
            <m:ctrlPr>
              <w:rPr>
                <w:rFonts w:ascii="Cambria Math" w:eastAsia="Google Sans" w:hAnsi="Cambria Math" w:cs="Google Sans"/>
                <w:i/>
                <w:color w:val="1F1F1F"/>
              </w:rPr>
            </m:ctrlPr>
          </m:sSubPr>
          <m:e>
            <m:r>
              <w:rPr>
                <w:rFonts w:ascii="Cambria Math" w:eastAsia="Google Sans" w:hAnsi="Cambria Math" w:cs="Google Sans"/>
                <w:color w:val="1F1F1F"/>
              </w:rPr>
              <m:t>T</m:t>
            </m:r>
          </m:e>
          <m:sub>
            <m:r>
              <w:rPr>
                <w:rFonts w:ascii="Cambria Math" w:eastAsia="Google Sans" w:hAnsi="Cambria Math" w:cs="Google Sans"/>
                <w:color w:val="1F1F1F"/>
              </w:rPr>
              <m:t>0</m:t>
            </m:r>
          </m:sub>
        </m:sSub>
      </m:oMath>
      <w:r>
        <w:rPr>
          <w:rFonts w:ascii="Google Sans" w:eastAsia="Google Sans" w:hAnsi="Google Sans" w:cs="Google Sans"/>
          <w:color w:val="1F1F1F"/>
        </w:rPr>
        <w:t xml:space="preserve"> basis effectively rejects these common-mode fluctuations, leading to a substantial suppression of dephasing.</w:t>
      </w:r>
    </w:p>
    <w:p w:rsidR="008B0709" w:rsidRDefault="003F24CE">
      <w:pPr>
        <w:pBdr>
          <w:top w:val="nil"/>
          <w:left w:val="nil"/>
          <w:bottom w:val="nil"/>
          <w:right w:val="nil"/>
          <w:between w:val="nil"/>
        </w:pBdr>
        <w:spacing w:after="240" w:line="275" w:lineRule="auto"/>
        <w:rPr>
          <w:rFonts w:ascii="Google Sans" w:eastAsia="Google Sans" w:hAnsi="Google Sans" w:cs="Google Sans"/>
          <w:color w:val="1F1F1F"/>
        </w:rPr>
      </w:pPr>
      <w:r>
        <w:rPr>
          <w:rFonts w:ascii="Google Sans" w:eastAsia="Google Sans" w:hAnsi="Google Sans" w:cs="Google Sans"/>
          <w:color w:val="1F1F1F"/>
        </w:rPr>
        <w:t>By leveraging this correlated noise env</w:t>
      </w:r>
      <w:r>
        <w:rPr>
          <w:rFonts w:ascii="Google Sans" w:eastAsia="Google Sans" w:hAnsi="Google Sans" w:cs="Google Sans"/>
          <w:color w:val="1F1F1F"/>
        </w:rPr>
        <w:t xml:space="preserve">ironment, we achieve a Hahn-echo coherence time of </w:t>
      </w:r>
      <m:oMath>
        <m:sSubSup>
          <m:sSubSupPr>
            <m:ctrlPr>
              <w:rPr>
                <w:rFonts w:ascii="Cambria Math" w:eastAsia="Google Sans" w:hAnsi="Cambria Math" w:cs="Google Sans"/>
                <w:i/>
                <w:color w:val="1F1F1F"/>
              </w:rPr>
            </m:ctrlPr>
          </m:sSubSupPr>
          <m:e>
            <m:r>
              <w:rPr>
                <w:rFonts w:ascii="Cambria Math" w:eastAsia="Google Sans" w:hAnsi="Cambria Math" w:cs="Google Sans"/>
                <w:color w:val="1F1F1F"/>
              </w:rPr>
              <m:t>T</m:t>
            </m:r>
          </m:e>
          <m:sub>
            <m:r>
              <w:rPr>
                <w:rFonts w:ascii="Cambria Math" w:eastAsia="Google Sans" w:hAnsi="Cambria Math" w:cs="Google Sans"/>
                <w:color w:val="1F1F1F"/>
              </w:rPr>
              <m:t>2</m:t>
            </m:r>
          </m:sub>
          <m:sup>
            <m:r>
              <w:rPr>
                <w:rFonts w:ascii="Cambria Math" w:eastAsia="Google Sans" w:hAnsi="Cambria Math" w:cs="Google Sans"/>
                <w:color w:val="1F1F1F"/>
              </w:rPr>
              <m:t>Hahn</m:t>
            </m:r>
          </m:sup>
        </m:sSubSup>
        <m:r>
          <w:rPr>
            <w:rFonts w:ascii="Cambria Math" w:eastAsia="Google Sans" w:hAnsi="Cambria Math" w:cs="Google Sans"/>
            <w:color w:val="1F1F1F"/>
          </w:rPr>
          <m:t>=4ms</m:t>
        </m:r>
      </m:oMath>
      <w:r>
        <w:rPr>
          <w:rFonts w:ascii="Google Sans" w:eastAsia="Google Sans" w:hAnsi="Google Sans" w:cs="Google Sans"/>
          <w:color w:val="1F1F1F"/>
        </w:rPr>
        <w:t xml:space="preserve">. To the best of our knowledge, this is the longest </w:t>
      </w:r>
      <m:oMath>
        <m:sSubSup>
          <m:sSubSupPr>
            <m:ctrlPr>
              <w:rPr>
                <w:rFonts w:ascii="Cambria Math" w:eastAsia="Google Sans" w:hAnsi="Cambria Math" w:cs="Google Sans"/>
                <w:i/>
                <w:color w:val="1F1F1F"/>
              </w:rPr>
            </m:ctrlPr>
          </m:sSubSupPr>
          <m:e>
            <m:r>
              <w:rPr>
                <w:rFonts w:ascii="Cambria Math" w:eastAsia="Google Sans" w:hAnsi="Cambria Math" w:cs="Google Sans"/>
                <w:color w:val="1F1F1F"/>
              </w:rPr>
              <m:t>T</m:t>
            </m:r>
          </m:e>
          <m:sub>
            <m:r>
              <w:rPr>
                <w:rFonts w:ascii="Cambria Math" w:eastAsia="Google Sans" w:hAnsi="Cambria Math" w:cs="Google Sans"/>
                <w:color w:val="1F1F1F"/>
              </w:rPr>
              <m:t>2</m:t>
            </m:r>
          </m:sub>
          <m:sup>
            <m:r>
              <w:rPr>
                <w:rFonts w:ascii="Cambria Math" w:eastAsia="Google Sans" w:hAnsi="Cambria Math" w:cs="Google Sans"/>
                <w:color w:val="1F1F1F"/>
              </w:rPr>
              <m:t>Hahn</m:t>
            </m:r>
          </m:sup>
        </m:sSubSup>
      </m:oMath>
      <w:r>
        <w:rPr>
          <w:rFonts w:ascii="Google Sans" w:eastAsia="Google Sans" w:hAnsi="Google Sans" w:cs="Google Sans"/>
          <w:color w:val="1F1F1F"/>
        </w:rPr>
        <w:t xml:space="preserve"> reported to date for any gate-defined quantum dot spin qubit. These findings highlight that tailoring qubit encoding to the specific spatial correlati</w:t>
      </w:r>
      <w:r>
        <w:rPr>
          <w:rFonts w:ascii="Google Sans" w:eastAsia="Google Sans" w:hAnsi="Google Sans" w:cs="Google Sans"/>
          <w:color w:val="1F1F1F"/>
        </w:rPr>
        <w:t>ons of the noise landscape is a powerful strategy for scaling foundry-fabricated quantum processors toward practical error-correction thresholds.</w:t>
      </w:r>
    </w:p>
    <w:sectPr w:rsidR="008B0709">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embedItalic r:id="rId1" w:fontKey="{0A3E7A97-474A-495D-B030-E496EE0DD051}"/>
  </w:font>
  <w:font w:name="Google Sans">
    <w:altName w:val="Calibri"/>
    <w:charset w:val="00"/>
    <w:family w:val="auto"/>
    <w:pitch w:val="default"/>
    <w:embedRegular r:id="rId2" w:fontKey="{8A33087F-5FAB-4FC3-982B-7E68EB1BCB38}"/>
    <w:embedBold r:id="rId3" w:fontKey="{20FFCD2B-56C3-4EBA-8797-C84F593193AB}"/>
    <w:embedItalic r:id="rId4" w:fontKey="{E2181436-82CE-4A10-ADF6-E9816CD0B605}"/>
  </w:font>
  <w:font w:name="Cambria Math">
    <w:panose1 w:val="02040503050406030204"/>
    <w:charset w:val="EE"/>
    <w:family w:val="roman"/>
    <w:pitch w:val="variable"/>
    <w:sig w:usb0="E00006FF" w:usb1="420024FF" w:usb2="02000000" w:usb3="00000000" w:csb0="0000019F" w:csb1="00000000"/>
    <w:embedItalic r:id="rId5" w:fontKey="{0AE0E16F-0B80-4A04-AEAA-39032EC6C654}"/>
  </w:font>
  <w:font w:name="Calibri">
    <w:panose1 w:val="020F0502020204030204"/>
    <w:charset w:val="EE"/>
    <w:family w:val="swiss"/>
    <w:pitch w:val="variable"/>
    <w:sig w:usb0="E4002EFF" w:usb1="C200247B" w:usb2="00000009" w:usb3="00000000" w:csb0="000001FF" w:csb1="00000000"/>
    <w:embedRegular r:id="rId6" w:fontKey="{2859D556-43C3-4754-AFDD-C2DC55A6A8A7}"/>
  </w:font>
  <w:font w:name="Cambria">
    <w:panose1 w:val="02040503050406030204"/>
    <w:charset w:val="EE"/>
    <w:family w:val="roman"/>
    <w:pitch w:val="variable"/>
    <w:sig w:usb0="E00006FF" w:usb1="420024FF" w:usb2="02000000" w:usb3="00000000" w:csb0="0000019F" w:csb1="00000000"/>
    <w:embedRegular r:id="rId7" w:fontKey="{408CDAAF-F988-431E-BF4B-7E98D559773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0709"/>
    <w:rsid w:val="003F24CE"/>
    <w:rsid w:val="008B070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465EC0"/>
  <w15:docId w15:val="{C8C16A98-FAF3-449E-B0A8-DBDE14CFF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hr-HR" w:eastAsia="hr-HR"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pBdr>
        <w:top w:val="nil"/>
        <w:left w:val="nil"/>
        <w:bottom w:val="nil"/>
        <w:right w:val="nil"/>
        <w:between w:val="nil"/>
      </w:pBdr>
      <w:spacing w:before="240" w:after="240"/>
      <w:outlineLvl w:val="0"/>
    </w:pPr>
    <w:rPr>
      <w:b/>
      <w:bCs/>
      <w:sz w:val="48"/>
      <w:szCs w:val="48"/>
    </w:rPr>
  </w:style>
  <w:style w:type="paragraph" w:styleId="Heading2">
    <w:name w:val="heading 2"/>
    <w:basedOn w:val="Normal"/>
    <w:next w:val="Normal"/>
    <w:uiPriority w:val="9"/>
    <w:unhideWhenUsed/>
    <w:qFormat/>
    <w:pPr>
      <w:pBdr>
        <w:top w:val="nil"/>
        <w:left w:val="nil"/>
        <w:bottom w:val="nil"/>
        <w:right w:val="nil"/>
        <w:between w:val="nil"/>
      </w:pBdr>
      <w:spacing w:before="225" w:after="225"/>
      <w:outlineLvl w:val="1"/>
    </w:pPr>
    <w:rPr>
      <w:b/>
      <w:bCs/>
      <w:sz w:val="36"/>
      <w:szCs w:val="36"/>
    </w:rPr>
  </w:style>
  <w:style w:type="paragraph" w:styleId="Heading3">
    <w:name w:val="heading 3"/>
    <w:basedOn w:val="Normal"/>
    <w:next w:val="Normal"/>
    <w:uiPriority w:val="9"/>
    <w:unhideWhenUsed/>
    <w:qFormat/>
    <w:pPr>
      <w:pBdr>
        <w:top w:val="nil"/>
        <w:left w:val="nil"/>
        <w:bottom w:val="nil"/>
        <w:right w:val="nil"/>
        <w:between w:val="nil"/>
      </w:pBdr>
      <w:spacing w:before="240" w:after="240"/>
      <w:outlineLvl w:val="2"/>
    </w:pPr>
    <w:rPr>
      <w:b/>
      <w:bCs/>
      <w:sz w:val="28"/>
      <w:szCs w:val="28"/>
    </w:rPr>
  </w:style>
  <w:style w:type="paragraph" w:styleId="Heading4">
    <w:name w:val="heading 4"/>
    <w:basedOn w:val="Normal"/>
    <w:next w:val="Normal"/>
    <w:uiPriority w:val="9"/>
    <w:semiHidden/>
    <w:unhideWhenUsed/>
    <w:qFormat/>
    <w:pPr>
      <w:pBdr>
        <w:top w:val="nil"/>
        <w:left w:val="nil"/>
        <w:bottom w:val="nil"/>
        <w:right w:val="nil"/>
        <w:between w:val="nil"/>
      </w:pBdr>
      <w:spacing w:before="255" w:after="255"/>
      <w:outlineLvl w:val="3"/>
    </w:pPr>
    <w:rPr>
      <w:b/>
      <w:bCs/>
      <w:sz w:val="24"/>
      <w:szCs w:val="24"/>
    </w:rPr>
  </w:style>
  <w:style w:type="paragraph" w:styleId="Heading5">
    <w:name w:val="heading 5"/>
    <w:basedOn w:val="Normal"/>
    <w:next w:val="Normal"/>
    <w:uiPriority w:val="9"/>
    <w:semiHidden/>
    <w:unhideWhenUsed/>
    <w:qFormat/>
    <w:pPr>
      <w:pBdr>
        <w:top w:val="nil"/>
        <w:left w:val="nil"/>
        <w:bottom w:val="nil"/>
        <w:right w:val="nil"/>
        <w:between w:val="nil"/>
      </w:pBdr>
      <w:spacing w:before="255" w:after="255"/>
      <w:outlineLvl w:val="4"/>
    </w:pPr>
    <w:rPr>
      <w:b/>
      <w:bCs/>
      <w:sz w:val="18"/>
      <w:szCs w:val="18"/>
    </w:rPr>
  </w:style>
  <w:style w:type="paragraph" w:styleId="Heading6">
    <w:name w:val="heading 6"/>
    <w:basedOn w:val="Normal"/>
    <w:next w:val="Normal"/>
    <w:uiPriority w:val="9"/>
    <w:semiHidden/>
    <w:unhideWhenUsed/>
    <w:qFormat/>
    <w:pPr>
      <w:pBdr>
        <w:top w:val="nil"/>
        <w:left w:val="nil"/>
        <w:bottom w:val="nil"/>
        <w:right w:val="nil"/>
        <w:between w:val="nil"/>
      </w:pBdr>
      <w:spacing w:before="360" w:after="360"/>
      <w:outlineLvl w:val="5"/>
    </w:pPr>
    <w:rPr>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character" w:styleId="PlaceholderText">
    <w:name w:val="Placeholder Text"/>
    <w:basedOn w:val="DefaultParagraphFont"/>
    <w:uiPriority w:val="99"/>
    <w:semiHidden/>
    <w:rsid w:val="003F24C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354</Words>
  <Characters>2019</Characters>
  <Application>Microsoft Office Word</Application>
  <DocSecurity>0</DocSecurity>
  <Lines>16</Lines>
  <Paragraphs>4</Paragraphs>
  <ScaleCrop>false</ScaleCrop>
  <Company/>
  <LinksUpToDate>false</LinksUpToDate>
  <CharactersWithSpaces>2369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Tomic  Petar</cp:lastModifiedBy>
  <cp:revision>2</cp:revision>
  <dcterms:created xsi:type="dcterms:W3CDTF">2026-04-17T13:46:00Z</dcterms:created>
  <dcterms:modified xsi:type="dcterms:W3CDTF">2026-04-17T13:49:00Z</dcterms:modified>
</cp:coreProperties>
</file>